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3"/>
          <w:szCs w:val="33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3"/>
          <w:szCs w:val="33"/>
          <w:lang w:val="en-US" w:eastAsia="zh-CN" w:bidi="ar"/>
        </w:rPr>
        <w:t>销售"飞单"有陷阱 投资理财需谨慎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9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“飞单”是指个别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销售人员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在利益驱使下与社会人员内外勾结，私自销售非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所在机构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自主发行的理财产品、非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所在机构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授权和签订代销协议的私募基金等第三方机构理财产品的违规行为，此类行为部分涉嫌非法集资。受高额佣金提成的诱惑，部分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销售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人员会利用客户的信任销售一些资质较差公司发行的高风险产品，导致客户资金受损。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投资者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可以从多个方面识别和防范，避免掉入“飞单”的陷阱。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9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</w:rPr>
        <w:t>　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  <w:lang w:eastAsia="zh-CN"/>
        </w:rPr>
        <w:t>一、通过官网查询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</w:rPr>
        <w:t>理财产品真假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9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 xml:space="preserve">  投资者可以通过本公司官网（www.cjzcgl.com）直接查询每日在售的理财产品清单。通过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银行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或其他第三方机构销售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的理财产品则可通过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银行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或第三方销售机构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公示的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销售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产品清单查询。因此，凡是无法通过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本公司官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网、公示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销售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产品清单查询到的产品，均应予以高度警惕。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90" w:lineRule="atLeast"/>
        <w:ind w:left="0" w:right="0"/>
        <w:rPr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</w:rPr>
        <w:t>查看资金是否汇入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  <w:lang w:eastAsia="zh-CN"/>
        </w:rPr>
        <w:t>正确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</w:rPr>
        <w:t>账户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9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投资者在购买相关理财产品时，可以关注资金是否汇入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本公司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账户或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销售该产品的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银行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、第三方机构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的账户。投资者在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本公司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购买理财产品均须通过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本公司直销中心（包括直销柜台和网上直销系统）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进行认购操作，凡是被要求向个人或第三方公司账户转账或汇款的，就要提高警惕，并注意查看业务办理回执中的收款账户和自身的账户明细。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9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普通投资者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通过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本公司直销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柜台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购买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理财产品，按规定整个过程都会录音录像。另外，理财产品有募集期，客户购买后资金会先被冻结，根据协议约定的时间正式扣款。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90" w:lineRule="atLeast"/>
        <w:ind w:left="0" w:right="0"/>
        <w:rPr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  <w:lang w:eastAsia="zh-CN"/>
        </w:rPr>
        <w:t>三、仔细阅读产品合同和产品说明书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9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投资者购买理财产品后，要仔细阅读理财产品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合同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和产品说明书，了解募集资金具体投向、是否保本、预期收益、期限和其他相关合同条款。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不同投资方向的理财产品风险各不相同，投资者应根据自己实际风险承受能力对产品分析后，再决定是否购买。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90" w:lineRule="atLeast"/>
        <w:ind w:left="0" w:right="0" w:firstLine="42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此外，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凡是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本公司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发行的理财产品，在合同上均盖有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本公司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公章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，投资者需谨慎产品合同是否有发行机构的公章。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90" w:lineRule="atLeast"/>
        <w:ind w:left="0" w:right="0" w:firstLine="42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</w:rPr>
        <w:t>对高额回报有独立清醒的判断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9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“飞单”产品通常由资质较差的公司发行，对接的项目风险较高，承诺收益率基本上是正规发行、代销的理财产品收益的两三倍。当事人在购买前，应有独立和清醒的判断，不要轻易被花言巧语、高额回报所蒙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90" w:lineRule="atLeast"/>
        <w:ind w:left="0" w:right="0" w:firstLine="42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  <w:lang w:eastAsia="zh-CN"/>
        </w:rPr>
        <w:t>五、积极维权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9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一旦发现异常情况，要第一时间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寻求专业人员的帮助，留存相关证据，及时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向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发行机构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和监管部门投诉和举报，情况严重应立即报案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，通过向法院提起民事诉讼挽回损失。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90" w:lineRule="atLeast"/>
        <w:ind w:left="0" w:right="0" w:firstLine="42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  <w:lang w:eastAsia="zh-CN"/>
        </w:rPr>
        <w:t>温馨提示：本公司承诺以诚实守信、勤勉尽责的原则管理产品，但不保证一定盈利，也不保证最低收益。产品有风险，投资需谨慎，购买理财产品请通过正规渠道。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D189B"/>
    <w:rsid w:val="12E075E4"/>
    <w:rsid w:val="1BE11663"/>
    <w:rsid w:val="323812F7"/>
    <w:rsid w:val="35E946A1"/>
    <w:rsid w:val="6E1005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HGFK-JXX</dc:creator>
  <cp:lastModifiedBy>蒋媛媛</cp:lastModifiedBy>
  <dcterms:modified xsi:type="dcterms:W3CDTF">2017-09-08T02:09:33Z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